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bookmarkStart w:id="0" w:name="_Toc927"/>
      <w:r>
        <w:t>评分办法</w:t>
      </w:r>
      <w:bookmarkEnd w:id="0"/>
    </w:p>
    <w:tbl>
      <w:tblPr>
        <w:tblStyle w:val="14"/>
        <w:tblW w:w="10055"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31"/>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728" w:type="dxa"/>
            <w:vAlign w:val="center"/>
          </w:tcPr>
          <w:p>
            <w:pPr>
              <w:spacing w:line="360" w:lineRule="exact"/>
              <w:jc w:val="center"/>
              <w:rPr>
                <w:kern w:val="2"/>
                <w:sz w:val="21"/>
                <w:szCs w:val="21"/>
              </w:rPr>
            </w:pPr>
            <w:bookmarkStart w:id="1" w:name="_bookmark8"/>
            <w:bookmarkEnd w:id="1"/>
            <w:bookmarkStart w:id="2" w:name="_bookmark9"/>
            <w:bookmarkEnd w:id="2"/>
            <w:r>
              <w:rPr>
                <w:rFonts w:hint="eastAsia"/>
                <w:kern w:val="2"/>
                <w:sz w:val="21"/>
                <w:szCs w:val="21"/>
              </w:rPr>
              <w:t>评审项目</w:t>
            </w:r>
          </w:p>
        </w:tc>
        <w:tc>
          <w:tcPr>
            <w:tcW w:w="1831" w:type="dxa"/>
            <w:vAlign w:val="center"/>
          </w:tcPr>
          <w:p>
            <w:pPr>
              <w:spacing w:line="360" w:lineRule="exact"/>
              <w:jc w:val="center"/>
              <w:rPr>
                <w:kern w:val="2"/>
                <w:sz w:val="21"/>
                <w:szCs w:val="21"/>
              </w:rPr>
            </w:pPr>
            <w:r>
              <w:rPr>
                <w:rFonts w:hint="eastAsia"/>
                <w:kern w:val="2"/>
                <w:sz w:val="21"/>
                <w:szCs w:val="21"/>
              </w:rPr>
              <w:t>分值</w:t>
            </w:r>
          </w:p>
        </w:tc>
        <w:tc>
          <w:tcPr>
            <w:tcW w:w="6496" w:type="dxa"/>
          </w:tcPr>
          <w:p>
            <w:pPr>
              <w:spacing w:line="360" w:lineRule="exact"/>
              <w:jc w:val="center"/>
              <w:rPr>
                <w:kern w:val="2"/>
                <w:sz w:val="21"/>
                <w:szCs w:val="21"/>
              </w:rPr>
            </w:pPr>
            <w:r>
              <w:rPr>
                <w:rFonts w:hint="eastAsia"/>
                <w:kern w:val="2"/>
                <w:sz w:val="21"/>
                <w:szCs w:val="21"/>
              </w:rPr>
              <w:t>计分标准及依据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728" w:type="dxa"/>
            <w:vMerge w:val="restart"/>
            <w:vAlign w:val="center"/>
          </w:tcPr>
          <w:p>
            <w:pPr>
              <w:spacing w:line="360" w:lineRule="exact"/>
              <w:ind w:firstLine="420" w:firstLineChars="200"/>
              <w:jc w:val="both"/>
              <w:rPr>
                <w:kern w:val="2"/>
                <w:sz w:val="21"/>
                <w:szCs w:val="21"/>
              </w:rPr>
            </w:pPr>
            <w:r>
              <w:rPr>
                <w:rFonts w:hint="eastAsia"/>
                <w:kern w:val="2"/>
                <w:sz w:val="21"/>
                <w:szCs w:val="21"/>
              </w:rPr>
              <w:t>服务方案</w:t>
            </w:r>
          </w:p>
        </w:tc>
        <w:tc>
          <w:tcPr>
            <w:tcW w:w="1831" w:type="dxa"/>
            <w:vAlign w:val="center"/>
          </w:tcPr>
          <w:p>
            <w:pPr>
              <w:spacing w:line="360" w:lineRule="exact"/>
              <w:jc w:val="both"/>
              <w:rPr>
                <w:kern w:val="2"/>
                <w:sz w:val="21"/>
                <w:szCs w:val="21"/>
              </w:rPr>
            </w:pPr>
            <w:r>
              <w:rPr>
                <w:rFonts w:hint="eastAsia"/>
                <w:kern w:val="2"/>
                <w:sz w:val="21"/>
                <w:szCs w:val="21"/>
              </w:rPr>
              <w:t>需求理解及目标（</w:t>
            </w:r>
            <w:r>
              <w:rPr>
                <w:kern w:val="2"/>
                <w:sz w:val="21"/>
                <w:szCs w:val="21"/>
              </w:rPr>
              <w:t>3</w:t>
            </w:r>
            <w:r>
              <w:rPr>
                <w:rFonts w:hint="eastAsia"/>
                <w:kern w:val="2"/>
                <w:sz w:val="21"/>
                <w:szCs w:val="21"/>
              </w:rPr>
              <w:t>分）</w:t>
            </w:r>
          </w:p>
        </w:tc>
        <w:tc>
          <w:tcPr>
            <w:tcW w:w="6496" w:type="dxa"/>
          </w:tcPr>
          <w:p>
            <w:pPr>
              <w:spacing w:line="360" w:lineRule="exact"/>
              <w:rPr>
                <w:kern w:val="2"/>
                <w:sz w:val="21"/>
                <w:szCs w:val="21"/>
              </w:rPr>
            </w:pPr>
            <w:r>
              <w:rPr>
                <w:rFonts w:hint="eastAsia"/>
                <w:kern w:val="2"/>
                <w:sz w:val="21"/>
                <w:szCs w:val="21"/>
              </w:rPr>
              <w:t>投标人针对本项目需求与目标的理解程度进行综合评审：</w:t>
            </w:r>
          </w:p>
          <w:p>
            <w:pPr>
              <w:spacing w:line="360" w:lineRule="exact"/>
              <w:rPr>
                <w:kern w:val="2"/>
                <w:sz w:val="21"/>
                <w:szCs w:val="21"/>
              </w:rPr>
            </w:pPr>
            <w:r>
              <w:rPr>
                <w:rFonts w:hint="eastAsia"/>
                <w:kern w:val="2"/>
                <w:sz w:val="21"/>
                <w:szCs w:val="21"/>
              </w:rPr>
              <w:t>优秀</w:t>
            </w:r>
            <w:r>
              <w:rPr>
                <w:kern w:val="2"/>
                <w:sz w:val="21"/>
                <w:szCs w:val="21"/>
              </w:rPr>
              <w:t>:</w:t>
            </w:r>
            <w:r>
              <w:rPr>
                <w:rFonts w:hint="eastAsia"/>
                <w:kern w:val="2"/>
                <w:sz w:val="21"/>
                <w:szCs w:val="21"/>
              </w:rPr>
              <w:t>理解透彻、深入细致的，得</w:t>
            </w:r>
            <w:r>
              <w:rPr>
                <w:kern w:val="2"/>
                <w:sz w:val="21"/>
                <w:szCs w:val="21"/>
              </w:rPr>
              <w:t>3</w:t>
            </w:r>
            <w:r>
              <w:rPr>
                <w:rFonts w:hint="eastAsia"/>
                <w:kern w:val="2"/>
                <w:sz w:val="21"/>
                <w:szCs w:val="21"/>
              </w:rPr>
              <w:t>分；</w:t>
            </w:r>
          </w:p>
          <w:p>
            <w:pPr>
              <w:spacing w:line="360" w:lineRule="exact"/>
              <w:rPr>
                <w:kern w:val="2"/>
                <w:sz w:val="21"/>
                <w:szCs w:val="21"/>
              </w:rPr>
            </w:pPr>
            <w:r>
              <w:rPr>
                <w:rFonts w:hint="eastAsia"/>
                <w:kern w:val="2"/>
                <w:sz w:val="21"/>
                <w:szCs w:val="21"/>
              </w:rPr>
              <w:t>良好</w:t>
            </w:r>
            <w:r>
              <w:rPr>
                <w:kern w:val="2"/>
                <w:sz w:val="21"/>
                <w:szCs w:val="21"/>
              </w:rPr>
              <w:t>:</w:t>
            </w:r>
            <w:r>
              <w:rPr>
                <w:rFonts w:hint="eastAsia"/>
                <w:kern w:val="2"/>
                <w:sz w:val="21"/>
                <w:szCs w:val="21"/>
              </w:rPr>
              <w:t>理解较深、较好符合项目要求的，得</w:t>
            </w:r>
            <w:r>
              <w:rPr>
                <w:kern w:val="2"/>
                <w:sz w:val="21"/>
                <w:szCs w:val="21"/>
              </w:rPr>
              <w:t>2</w:t>
            </w:r>
            <w:r>
              <w:rPr>
                <w:rFonts w:hint="eastAsia"/>
                <w:kern w:val="2"/>
                <w:sz w:val="21"/>
                <w:szCs w:val="21"/>
              </w:rPr>
              <w:t xml:space="preserve"> 分；</w:t>
            </w:r>
          </w:p>
          <w:p>
            <w:pPr>
              <w:spacing w:line="360" w:lineRule="exact"/>
              <w:rPr>
                <w:kern w:val="2"/>
                <w:sz w:val="21"/>
                <w:szCs w:val="21"/>
              </w:rPr>
            </w:pPr>
            <w:r>
              <w:rPr>
                <w:rFonts w:hint="eastAsia"/>
                <w:kern w:val="2"/>
                <w:sz w:val="21"/>
                <w:szCs w:val="21"/>
              </w:rPr>
              <w:t>一般：理解一般、基本符合项目要求的，得</w:t>
            </w:r>
            <w:r>
              <w:rPr>
                <w:kern w:val="2"/>
                <w:sz w:val="21"/>
                <w:szCs w:val="21"/>
              </w:rPr>
              <w:t>1</w:t>
            </w:r>
            <w:r>
              <w:rPr>
                <w:rFonts w:hint="eastAsia"/>
                <w:kern w:val="2"/>
                <w:sz w:val="21"/>
                <w:szCs w:val="21"/>
              </w:rPr>
              <w:t>分；</w:t>
            </w:r>
          </w:p>
          <w:p>
            <w:pPr>
              <w:spacing w:line="360" w:lineRule="exact"/>
              <w:rPr>
                <w:kern w:val="2"/>
                <w:sz w:val="21"/>
                <w:szCs w:val="21"/>
              </w:rPr>
            </w:pPr>
            <w:r>
              <w:rPr>
                <w:rFonts w:hint="eastAsia"/>
                <w:kern w:val="2"/>
                <w:sz w:val="21"/>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28" w:type="dxa"/>
            <w:vMerge w:val="continue"/>
            <w:vAlign w:val="center"/>
          </w:tcPr>
          <w:p>
            <w:pPr>
              <w:spacing w:line="360" w:lineRule="exact"/>
              <w:ind w:firstLine="420" w:firstLineChars="200"/>
              <w:jc w:val="both"/>
              <w:rPr>
                <w:kern w:val="2"/>
                <w:sz w:val="21"/>
                <w:szCs w:val="21"/>
              </w:rPr>
            </w:pPr>
          </w:p>
        </w:tc>
        <w:tc>
          <w:tcPr>
            <w:tcW w:w="1831" w:type="dxa"/>
            <w:vAlign w:val="center"/>
          </w:tcPr>
          <w:p>
            <w:pPr>
              <w:spacing w:line="360" w:lineRule="exact"/>
              <w:jc w:val="both"/>
              <w:rPr>
                <w:rFonts w:hint="eastAsia"/>
                <w:kern w:val="2"/>
                <w:sz w:val="21"/>
                <w:szCs w:val="21"/>
              </w:rPr>
            </w:pPr>
            <w:r>
              <w:rPr>
                <w:rFonts w:hint="eastAsia"/>
                <w:kern w:val="2"/>
                <w:sz w:val="21"/>
                <w:szCs w:val="21"/>
              </w:rPr>
              <w:t>设计方案</w:t>
            </w:r>
          </w:p>
          <w:p>
            <w:pPr>
              <w:spacing w:line="360" w:lineRule="exact"/>
              <w:jc w:val="both"/>
              <w:rPr>
                <w:rFonts w:hint="default"/>
                <w:kern w:val="2"/>
                <w:sz w:val="21"/>
                <w:szCs w:val="21"/>
                <w:lang w:val="en-US" w:eastAsia="zh-CN"/>
              </w:rPr>
            </w:pPr>
            <w:r>
              <w:rPr>
                <w:rFonts w:hint="eastAsia"/>
                <w:kern w:val="2"/>
                <w:sz w:val="21"/>
                <w:szCs w:val="21"/>
              </w:rPr>
              <w:t>（</w:t>
            </w:r>
            <w:r>
              <w:rPr>
                <w:rFonts w:hint="eastAsia"/>
                <w:kern w:val="2"/>
                <w:sz w:val="21"/>
                <w:szCs w:val="21"/>
                <w:lang w:val="en-US" w:eastAsia="zh-CN"/>
              </w:rPr>
              <w:t>6</w:t>
            </w:r>
            <w:r>
              <w:rPr>
                <w:rFonts w:hint="eastAsia"/>
                <w:kern w:val="2"/>
                <w:sz w:val="21"/>
                <w:szCs w:val="21"/>
              </w:rPr>
              <w:t>分）</w:t>
            </w:r>
          </w:p>
        </w:tc>
        <w:tc>
          <w:tcPr>
            <w:tcW w:w="6496" w:type="dxa"/>
          </w:tcPr>
          <w:p>
            <w:pPr>
              <w:spacing w:line="360" w:lineRule="exact"/>
              <w:jc w:val="both"/>
              <w:rPr>
                <w:rFonts w:hint="eastAsia"/>
                <w:kern w:val="2"/>
                <w:sz w:val="21"/>
                <w:szCs w:val="21"/>
              </w:rPr>
            </w:pPr>
            <w:r>
              <w:rPr>
                <w:rFonts w:hint="eastAsia"/>
                <w:kern w:val="2"/>
                <w:sz w:val="21"/>
                <w:szCs w:val="21"/>
              </w:rPr>
              <w:t>投标人提供的技术方案进行综合评分：</w:t>
            </w:r>
          </w:p>
          <w:p>
            <w:pPr>
              <w:spacing w:line="360" w:lineRule="exact"/>
              <w:jc w:val="both"/>
              <w:rPr>
                <w:rFonts w:hint="eastAsia"/>
                <w:kern w:val="2"/>
                <w:sz w:val="21"/>
                <w:szCs w:val="21"/>
              </w:rPr>
            </w:pPr>
            <w:r>
              <w:rPr>
                <w:rFonts w:hint="eastAsia"/>
                <w:kern w:val="2"/>
                <w:sz w:val="21"/>
                <w:szCs w:val="21"/>
              </w:rPr>
              <w:t>优秀：先进安全稳定性高，可操作性强、易维护的，得</w:t>
            </w:r>
            <w:r>
              <w:rPr>
                <w:rFonts w:hint="eastAsia"/>
                <w:kern w:val="2"/>
                <w:sz w:val="21"/>
                <w:szCs w:val="21"/>
                <w:lang w:val="en-US" w:eastAsia="zh-CN"/>
              </w:rPr>
              <w:t>5-6</w:t>
            </w:r>
            <w:r>
              <w:rPr>
                <w:rFonts w:hint="eastAsia"/>
                <w:kern w:val="2"/>
                <w:sz w:val="21"/>
                <w:szCs w:val="21"/>
              </w:rPr>
              <w:t>分；</w:t>
            </w:r>
          </w:p>
          <w:p>
            <w:pPr>
              <w:spacing w:line="360" w:lineRule="exact"/>
              <w:jc w:val="both"/>
              <w:rPr>
                <w:rFonts w:hint="eastAsia"/>
                <w:kern w:val="2"/>
                <w:sz w:val="21"/>
                <w:szCs w:val="21"/>
              </w:rPr>
            </w:pPr>
            <w:r>
              <w:rPr>
                <w:rFonts w:hint="eastAsia"/>
                <w:kern w:val="2"/>
                <w:sz w:val="21"/>
                <w:szCs w:val="21"/>
              </w:rPr>
              <w:t>良好：先进安全稳定性一般，可操作性一般的，得</w:t>
            </w:r>
            <w:r>
              <w:rPr>
                <w:rFonts w:hint="eastAsia"/>
                <w:kern w:val="2"/>
                <w:sz w:val="21"/>
                <w:szCs w:val="21"/>
                <w:lang w:val="en-US" w:eastAsia="zh-CN"/>
              </w:rPr>
              <w:t>3-4</w:t>
            </w:r>
            <w:r>
              <w:rPr>
                <w:rFonts w:hint="eastAsia"/>
                <w:kern w:val="2"/>
                <w:sz w:val="21"/>
                <w:szCs w:val="21"/>
              </w:rPr>
              <w:t>分；</w:t>
            </w:r>
          </w:p>
          <w:p>
            <w:pPr>
              <w:spacing w:line="360" w:lineRule="exact"/>
              <w:jc w:val="both"/>
              <w:rPr>
                <w:rFonts w:hint="eastAsia"/>
                <w:kern w:val="2"/>
                <w:sz w:val="21"/>
                <w:szCs w:val="21"/>
              </w:rPr>
            </w:pPr>
            <w:r>
              <w:rPr>
                <w:rFonts w:hint="eastAsia"/>
                <w:kern w:val="2"/>
                <w:sz w:val="21"/>
                <w:szCs w:val="21"/>
              </w:rPr>
              <w:t>一般：基本符合项目要求的，得</w:t>
            </w:r>
            <w:r>
              <w:rPr>
                <w:rFonts w:hint="eastAsia"/>
                <w:kern w:val="2"/>
                <w:sz w:val="21"/>
                <w:szCs w:val="21"/>
                <w:lang w:val="en-US" w:eastAsia="zh-CN"/>
              </w:rPr>
              <w:t>1-2</w:t>
            </w:r>
            <w:r>
              <w:rPr>
                <w:rFonts w:hint="eastAsia"/>
                <w:kern w:val="2"/>
                <w:sz w:val="21"/>
                <w:szCs w:val="21"/>
              </w:rPr>
              <w:t xml:space="preserve"> 分；</w:t>
            </w:r>
          </w:p>
          <w:p>
            <w:pPr>
              <w:spacing w:line="360" w:lineRule="exact"/>
              <w:jc w:val="both"/>
              <w:rPr>
                <w:rFonts w:hint="eastAsia"/>
                <w:kern w:val="2"/>
                <w:sz w:val="21"/>
                <w:szCs w:val="21"/>
              </w:rPr>
            </w:pPr>
            <w:r>
              <w:rPr>
                <w:rFonts w:hint="eastAsia"/>
                <w:kern w:val="2"/>
                <w:sz w:val="21"/>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28" w:type="dxa"/>
            <w:vMerge w:val="continue"/>
            <w:vAlign w:val="center"/>
          </w:tcPr>
          <w:p>
            <w:pPr>
              <w:spacing w:line="360" w:lineRule="exact"/>
              <w:ind w:firstLine="420" w:firstLineChars="200"/>
              <w:jc w:val="both"/>
              <w:rPr>
                <w:kern w:val="2"/>
                <w:sz w:val="21"/>
                <w:szCs w:val="21"/>
              </w:rPr>
            </w:pPr>
            <w:r>
              <w:rPr>
                <w:kern w:val="2"/>
                <w:sz w:val="21"/>
                <w:szCs w:val="21"/>
              </w:rPr>
              <w:t>a</w:t>
            </w:r>
          </w:p>
        </w:tc>
        <w:tc>
          <w:tcPr>
            <w:tcW w:w="1831" w:type="dxa"/>
            <w:vAlign w:val="center"/>
          </w:tcPr>
          <w:p>
            <w:pPr>
              <w:spacing w:line="360" w:lineRule="exact"/>
              <w:jc w:val="both"/>
              <w:rPr>
                <w:rFonts w:hint="eastAsia"/>
                <w:kern w:val="2"/>
                <w:sz w:val="21"/>
                <w:szCs w:val="21"/>
              </w:rPr>
            </w:pPr>
            <w:r>
              <w:rPr>
                <w:rFonts w:hint="eastAsia"/>
                <w:kern w:val="2"/>
                <w:sz w:val="21"/>
                <w:szCs w:val="21"/>
              </w:rPr>
              <w:t>项目实施保障</w:t>
            </w:r>
          </w:p>
          <w:p>
            <w:pPr>
              <w:spacing w:line="360" w:lineRule="exact"/>
              <w:jc w:val="both"/>
              <w:rPr>
                <w:rFonts w:hint="eastAsia"/>
                <w:kern w:val="2"/>
                <w:sz w:val="21"/>
                <w:szCs w:val="21"/>
              </w:rPr>
            </w:pPr>
            <w:r>
              <w:rPr>
                <w:rFonts w:hint="eastAsia"/>
                <w:kern w:val="2"/>
                <w:sz w:val="21"/>
                <w:szCs w:val="21"/>
              </w:rPr>
              <w:t>体系（3分）</w:t>
            </w:r>
          </w:p>
        </w:tc>
        <w:tc>
          <w:tcPr>
            <w:tcW w:w="6496" w:type="dxa"/>
          </w:tcPr>
          <w:p>
            <w:pPr>
              <w:spacing w:line="360" w:lineRule="exact"/>
              <w:jc w:val="both"/>
              <w:rPr>
                <w:rFonts w:hint="eastAsia"/>
                <w:kern w:val="2"/>
                <w:sz w:val="21"/>
                <w:szCs w:val="21"/>
              </w:rPr>
            </w:pPr>
            <w:r>
              <w:rPr>
                <w:rFonts w:hint="eastAsia"/>
                <w:kern w:val="2"/>
                <w:sz w:val="21"/>
                <w:szCs w:val="21"/>
              </w:rPr>
              <w:t>据投标人提供的项目实施保障体系（</w:t>
            </w:r>
            <w:r>
              <w:rPr>
                <w:rFonts w:hint="eastAsia"/>
                <w:kern w:val="2"/>
                <w:sz w:val="21"/>
                <w:szCs w:val="21"/>
                <w:lang w:val="en-US"/>
              </w:rPr>
              <w:t>包括维护方案、培训计划等</w:t>
            </w:r>
            <w:r>
              <w:rPr>
                <w:rFonts w:hint="eastAsia"/>
                <w:kern w:val="2"/>
                <w:sz w:val="21"/>
                <w:szCs w:val="21"/>
              </w:rPr>
              <w:t>）进行综合评分：</w:t>
            </w:r>
          </w:p>
          <w:p>
            <w:pPr>
              <w:spacing w:line="360" w:lineRule="exact"/>
              <w:jc w:val="both"/>
              <w:rPr>
                <w:rFonts w:hint="eastAsia"/>
                <w:kern w:val="2"/>
                <w:sz w:val="21"/>
                <w:szCs w:val="21"/>
              </w:rPr>
            </w:pPr>
            <w:r>
              <w:rPr>
                <w:rFonts w:hint="eastAsia"/>
                <w:kern w:val="2"/>
                <w:sz w:val="21"/>
                <w:szCs w:val="21"/>
              </w:rPr>
              <w:t>优秀：科学合理，可操作性强的，可按时交付，得3 分；</w:t>
            </w:r>
          </w:p>
          <w:p>
            <w:pPr>
              <w:spacing w:line="360" w:lineRule="exact"/>
              <w:jc w:val="both"/>
              <w:rPr>
                <w:rFonts w:hint="eastAsia"/>
                <w:kern w:val="2"/>
                <w:sz w:val="21"/>
                <w:szCs w:val="21"/>
              </w:rPr>
            </w:pPr>
            <w:r>
              <w:rPr>
                <w:rFonts w:hint="eastAsia"/>
                <w:kern w:val="2"/>
                <w:sz w:val="21"/>
                <w:szCs w:val="21"/>
              </w:rPr>
              <w:t>良好：较为科学合理，可操作性一般的，得2 分；</w:t>
            </w:r>
          </w:p>
          <w:p>
            <w:pPr>
              <w:spacing w:line="360" w:lineRule="exact"/>
              <w:jc w:val="both"/>
              <w:rPr>
                <w:rFonts w:hint="eastAsia"/>
                <w:kern w:val="2"/>
                <w:sz w:val="21"/>
                <w:szCs w:val="21"/>
              </w:rPr>
            </w:pPr>
            <w:r>
              <w:rPr>
                <w:rFonts w:hint="eastAsia"/>
                <w:kern w:val="2"/>
                <w:sz w:val="21"/>
                <w:szCs w:val="21"/>
              </w:rPr>
              <w:t>一般：基本符合项目要求的，得1 分；</w:t>
            </w:r>
          </w:p>
          <w:p>
            <w:pPr>
              <w:spacing w:line="360" w:lineRule="exact"/>
              <w:jc w:val="both"/>
              <w:rPr>
                <w:rFonts w:hint="eastAsia"/>
                <w:kern w:val="2"/>
                <w:sz w:val="21"/>
                <w:szCs w:val="21"/>
              </w:rPr>
            </w:pPr>
            <w:r>
              <w:rPr>
                <w:rFonts w:hint="eastAsia"/>
                <w:kern w:val="2"/>
                <w:sz w:val="21"/>
                <w:szCs w:val="21"/>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728" w:type="dxa"/>
            <w:vMerge w:val="continue"/>
            <w:vAlign w:val="center"/>
          </w:tcPr>
          <w:p>
            <w:pPr>
              <w:spacing w:line="360" w:lineRule="exact"/>
              <w:ind w:firstLine="420" w:firstLineChars="200"/>
              <w:jc w:val="both"/>
              <w:rPr>
                <w:kern w:val="2"/>
                <w:sz w:val="21"/>
                <w:szCs w:val="21"/>
              </w:rPr>
            </w:pPr>
          </w:p>
        </w:tc>
        <w:tc>
          <w:tcPr>
            <w:tcW w:w="1831" w:type="dxa"/>
            <w:vAlign w:val="center"/>
          </w:tcPr>
          <w:p>
            <w:pPr>
              <w:spacing w:line="360" w:lineRule="exact"/>
              <w:jc w:val="both"/>
              <w:rPr>
                <w:rFonts w:hint="eastAsia"/>
                <w:kern w:val="2"/>
                <w:sz w:val="21"/>
                <w:szCs w:val="21"/>
              </w:rPr>
            </w:pPr>
            <w:r>
              <w:rPr>
                <w:rFonts w:hint="eastAsia"/>
                <w:kern w:val="2"/>
                <w:sz w:val="21"/>
                <w:szCs w:val="21"/>
              </w:rPr>
              <w:t>实施力量</w:t>
            </w:r>
          </w:p>
          <w:p>
            <w:pPr>
              <w:spacing w:line="360" w:lineRule="exact"/>
              <w:jc w:val="both"/>
              <w:rPr>
                <w:rFonts w:hint="default"/>
                <w:kern w:val="2"/>
                <w:sz w:val="21"/>
                <w:szCs w:val="21"/>
                <w:lang w:val="en-US" w:eastAsia="zh-CN"/>
              </w:rPr>
            </w:pPr>
            <w:r>
              <w:rPr>
                <w:rFonts w:hint="eastAsia"/>
                <w:kern w:val="2"/>
                <w:sz w:val="21"/>
                <w:szCs w:val="21"/>
              </w:rPr>
              <w:t>（</w:t>
            </w:r>
            <w:r>
              <w:rPr>
                <w:rFonts w:hint="eastAsia"/>
                <w:kern w:val="2"/>
                <w:sz w:val="21"/>
                <w:szCs w:val="21"/>
                <w:lang w:val="en-US" w:eastAsia="zh-CN"/>
              </w:rPr>
              <w:t>5</w:t>
            </w:r>
            <w:r>
              <w:rPr>
                <w:rFonts w:hint="eastAsia"/>
                <w:kern w:val="2"/>
                <w:sz w:val="21"/>
                <w:szCs w:val="21"/>
              </w:rPr>
              <w:t>分）</w:t>
            </w:r>
          </w:p>
        </w:tc>
        <w:tc>
          <w:tcPr>
            <w:tcW w:w="6496" w:type="dxa"/>
          </w:tcPr>
          <w:p>
            <w:pPr>
              <w:spacing w:line="360" w:lineRule="exact"/>
              <w:jc w:val="both"/>
              <w:rPr>
                <w:rFonts w:hint="eastAsia"/>
                <w:kern w:val="2"/>
                <w:sz w:val="21"/>
                <w:szCs w:val="21"/>
              </w:rPr>
            </w:pPr>
            <w:r>
              <w:rPr>
                <w:rFonts w:hint="eastAsia"/>
                <w:kern w:val="2"/>
                <w:sz w:val="21"/>
                <w:szCs w:val="21"/>
              </w:rPr>
              <w:t>1.项目经理（1 人）具金融服务平台建设相关项目的工作经验的，得</w:t>
            </w:r>
            <w:r>
              <w:rPr>
                <w:rFonts w:hint="eastAsia"/>
                <w:kern w:val="2"/>
                <w:sz w:val="21"/>
                <w:szCs w:val="21"/>
                <w:lang w:val="en-US" w:eastAsia="zh-CN"/>
              </w:rPr>
              <w:t>2</w:t>
            </w:r>
            <w:r>
              <w:rPr>
                <w:rFonts w:hint="eastAsia"/>
                <w:kern w:val="2"/>
                <w:sz w:val="21"/>
                <w:szCs w:val="21"/>
              </w:rPr>
              <w:t>分；</w:t>
            </w:r>
          </w:p>
          <w:p>
            <w:pPr>
              <w:spacing w:line="360" w:lineRule="exact"/>
              <w:jc w:val="both"/>
              <w:rPr>
                <w:rFonts w:hint="eastAsia"/>
                <w:kern w:val="2"/>
                <w:sz w:val="21"/>
                <w:szCs w:val="21"/>
              </w:rPr>
            </w:pPr>
            <w:r>
              <w:rPr>
                <w:rFonts w:hint="eastAsia"/>
                <w:kern w:val="2"/>
                <w:sz w:val="21"/>
                <w:szCs w:val="21"/>
              </w:rPr>
              <w:t>注：响应文件中须提供项目经理的相关工作经验的证明资料（资料形式不限于合同或业主证明材料等，须能体现项目类型、项目经理姓名等内容）。</w:t>
            </w:r>
          </w:p>
          <w:p>
            <w:pPr>
              <w:spacing w:line="360" w:lineRule="exact"/>
              <w:jc w:val="both"/>
              <w:rPr>
                <w:rFonts w:hint="eastAsia"/>
                <w:kern w:val="2"/>
                <w:sz w:val="21"/>
                <w:szCs w:val="21"/>
              </w:rPr>
            </w:pPr>
            <w:r>
              <w:rPr>
                <w:rFonts w:hint="eastAsia"/>
                <w:kern w:val="2"/>
                <w:sz w:val="21"/>
                <w:szCs w:val="21"/>
              </w:rPr>
              <w:t>2.根据供应商提供的项目团队的组成结构合理性（包括信息系统项目管理师、项目管理工程师pmp、网络工程师、经济师</w:t>
            </w:r>
            <w:r>
              <w:rPr>
                <w:rFonts w:hint="eastAsia"/>
                <w:kern w:val="2"/>
                <w:sz w:val="21"/>
                <w:szCs w:val="21"/>
                <w:lang w:val="en-US"/>
              </w:rPr>
              <w:t>的相关证书</w:t>
            </w:r>
            <w:r>
              <w:rPr>
                <w:rFonts w:hint="eastAsia"/>
                <w:kern w:val="2"/>
                <w:sz w:val="21"/>
                <w:szCs w:val="21"/>
              </w:rPr>
              <w:t>），每提供1个人员资质证书得1分，未提供的不得分。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1728" w:type="dxa"/>
            <w:vAlign w:val="center"/>
          </w:tcPr>
          <w:p>
            <w:pPr>
              <w:spacing w:line="360" w:lineRule="exact"/>
              <w:jc w:val="center"/>
              <w:rPr>
                <w:rFonts w:hint="eastAsia" w:eastAsia="宋体"/>
                <w:kern w:val="2"/>
                <w:sz w:val="21"/>
                <w:szCs w:val="21"/>
                <w:lang w:eastAsia="zh-CN"/>
              </w:rPr>
            </w:pPr>
            <w:r>
              <w:rPr>
                <w:rFonts w:hint="eastAsia"/>
                <w:kern w:val="2"/>
                <w:sz w:val="21"/>
                <w:szCs w:val="21"/>
              </w:rPr>
              <w:t>产品</w:t>
            </w:r>
            <w:r>
              <w:rPr>
                <w:rFonts w:hint="eastAsia"/>
                <w:kern w:val="2"/>
                <w:sz w:val="21"/>
                <w:szCs w:val="21"/>
                <w:lang w:eastAsia="zh-CN"/>
              </w:rPr>
              <w:t>项目</w:t>
            </w:r>
          </w:p>
        </w:tc>
        <w:tc>
          <w:tcPr>
            <w:tcW w:w="1831" w:type="dxa"/>
            <w:vAlign w:val="center"/>
          </w:tcPr>
          <w:p>
            <w:pPr>
              <w:spacing w:line="360" w:lineRule="exact"/>
              <w:jc w:val="both"/>
              <w:rPr>
                <w:rFonts w:hint="eastAsia"/>
                <w:kern w:val="2"/>
                <w:sz w:val="21"/>
                <w:szCs w:val="21"/>
              </w:rPr>
            </w:pPr>
            <w:r>
              <w:rPr>
                <w:rFonts w:hint="eastAsia"/>
                <w:kern w:val="2"/>
                <w:sz w:val="21"/>
                <w:szCs w:val="21"/>
              </w:rPr>
              <w:t>（</w:t>
            </w:r>
            <w:r>
              <w:rPr>
                <w:rFonts w:hint="eastAsia"/>
                <w:kern w:val="2"/>
                <w:sz w:val="21"/>
                <w:szCs w:val="21"/>
                <w:lang w:val="en-US" w:eastAsia="zh-CN"/>
              </w:rPr>
              <w:t>40</w:t>
            </w:r>
            <w:r>
              <w:rPr>
                <w:rFonts w:hint="eastAsia"/>
                <w:kern w:val="2"/>
                <w:sz w:val="21"/>
                <w:szCs w:val="21"/>
              </w:rPr>
              <w:t>分）</w:t>
            </w:r>
          </w:p>
        </w:tc>
        <w:tc>
          <w:tcPr>
            <w:tcW w:w="6496" w:type="dxa"/>
          </w:tcPr>
          <w:p>
            <w:pPr>
              <w:spacing w:line="360" w:lineRule="exact"/>
              <w:jc w:val="both"/>
              <w:rPr>
                <w:rFonts w:hint="eastAsia"/>
                <w:kern w:val="2"/>
                <w:sz w:val="21"/>
                <w:szCs w:val="21"/>
              </w:rPr>
            </w:pPr>
            <w:r>
              <w:rPr>
                <w:rFonts w:hint="eastAsia"/>
                <w:kern w:val="2"/>
                <w:sz w:val="21"/>
                <w:szCs w:val="21"/>
              </w:rPr>
              <w:t>按照系统演示方式来具体评分，规则如下：通过系统进行演示（可以通过网络远程访问演示，也可以拷贝或者部署到本地电脑上演示），演示时间不超过</w:t>
            </w:r>
            <w:r>
              <w:rPr>
                <w:rFonts w:hint="eastAsia"/>
                <w:kern w:val="2"/>
                <w:sz w:val="21"/>
                <w:szCs w:val="21"/>
                <w:lang w:val="en-US" w:eastAsia="zh-CN"/>
              </w:rPr>
              <w:t>25</w:t>
            </w:r>
            <w:r>
              <w:rPr>
                <w:rFonts w:hint="eastAsia"/>
                <w:kern w:val="2"/>
                <w:sz w:val="21"/>
                <w:szCs w:val="21"/>
              </w:rPr>
              <w:t>分钟。</w:t>
            </w:r>
          </w:p>
          <w:p>
            <w:pPr>
              <w:spacing w:line="360" w:lineRule="exact"/>
              <w:jc w:val="both"/>
              <w:rPr>
                <w:rFonts w:hint="eastAsia"/>
                <w:kern w:val="2"/>
                <w:sz w:val="21"/>
                <w:szCs w:val="21"/>
              </w:rPr>
            </w:pPr>
            <w:r>
              <w:rPr>
                <w:rFonts w:hint="eastAsia"/>
                <w:kern w:val="2"/>
                <w:sz w:val="21"/>
                <w:szCs w:val="21"/>
              </w:rPr>
              <w:t>1.展示银企对接全流程撮合功能，体现定向和不定向的需求，具备银企申请、银行受理、银行审核、银行授信、银行放款等流程功能。（满分3分，每少一个流程节点扣1分，扣完为止）</w:t>
            </w:r>
          </w:p>
          <w:p>
            <w:pPr>
              <w:spacing w:line="360" w:lineRule="exact"/>
              <w:jc w:val="both"/>
              <w:rPr>
                <w:rFonts w:hint="eastAsia"/>
                <w:kern w:val="2"/>
                <w:sz w:val="21"/>
                <w:szCs w:val="21"/>
              </w:rPr>
            </w:pPr>
            <w:r>
              <w:rPr>
                <w:rFonts w:hint="eastAsia"/>
                <w:kern w:val="2"/>
                <w:sz w:val="21"/>
                <w:szCs w:val="21"/>
              </w:rPr>
              <w:t>2.展示平台相关的征信产品服务，①在线查看某一企业的企业信用报告（报告内容需包含工商、司法、税务、电力、舆情等信用信息），②在线查看以某企业为核心的关联关系图谱，③在线查看企业信用评分和子维度评分，④在线查看风险预警产品。（满分</w:t>
            </w:r>
            <w:r>
              <w:rPr>
                <w:rFonts w:hint="eastAsia"/>
                <w:kern w:val="2"/>
                <w:sz w:val="21"/>
                <w:szCs w:val="21"/>
                <w:lang w:val="en-US" w:eastAsia="zh-CN"/>
              </w:rPr>
              <w:t>8</w:t>
            </w:r>
            <w:r>
              <w:rPr>
                <w:rFonts w:hint="eastAsia"/>
                <w:kern w:val="2"/>
                <w:sz w:val="21"/>
                <w:szCs w:val="21"/>
              </w:rPr>
              <w:t>分，每少一个产品扣2分，扣完为止）</w:t>
            </w:r>
          </w:p>
          <w:p>
            <w:pPr>
              <w:spacing w:line="360" w:lineRule="exact"/>
              <w:jc w:val="both"/>
              <w:rPr>
                <w:rFonts w:hint="eastAsia"/>
                <w:kern w:val="2"/>
                <w:sz w:val="21"/>
                <w:szCs w:val="21"/>
              </w:rPr>
            </w:pPr>
            <w:r>
              <w:rPr>
                <w:rFonts w:hint="eastAsia"/>
                <w:kern w:val="2"/>
                <w:sz w:val="21"/>
                <w:szCs w:val="21"/>
              </w:rPr>
              <w:t>3.展示金融科技服务功能，实现线上担保、在线抵押等服务能力（满分4分，每少一个服务扣2分，扣完为止）</w:t>
            </w:r>
          </w:p>
          <w:p>
            <w:pPr>
              <w:spacing w:line="360" w:lineRule="exact"/>
              <w:jc w:val="both"/>
              <w:rPr>
                <w:rFonts w:hint="eastAsia"/>
                <w:kern w:val="2"/>
                <w:sz w:val="21"/>
                <w:szCs w:val="21"/>
              </w:rPr>
            </w:pPr>
            <w:r>
              <w:rPr>
                <w:rFonts w:hint="eastAsia"/>
                <w:kern w:val="2"/>
                <w:sz w:val="21"/>
                <w:szCs w:val="21"/>
              </w:rPr>
              <w:t>4.展示综合展示中心，体现平台运营核心数据，注册企业、发布需求、银行解决需求、机构排名、区县排名，信息进行分类展示。（满分</w:t>
            </w:r>
            <w:r>
              <w:rPr>
                <w:rFonts w:hint="eastAsia"/>
                <w:kern w:val="2"/>
                <w:sz w:val="21"/>
                <w:szCs w:val="21"/>
                <w:lang w:val="en-US" w:eastAsia="zh-CN"/>
              </w:rPr>
              <w:t>5</w:t>
            </w:r>
            <w:r>
              <w:rPr>
                <w:rFonts w:hint="eastAsia"/>
                <w:kern w:val="2"/>
                <w:sz w:val="21"/>
                <w:szCs w:val="21"/>
              </w:rPr>
              <w:t>分，每少一个展示类型扣1分，扣完为止）</w:t>
            </w:r>
          </w:p>
          <w:p>
            <w:pPr>
              <w:spacing w:line="360" w:lineRule="exact"/>
              <w:jc w:val="both"/>
              <w:rPr>
                <w:rFonts w:hint="eastAsia"/>
                <w:kern w:val="2"/>
                <w:sz w:val="21"/>
                <w:szCs w:val="21"/>
              </w:rPr>
            </w:pPr>
            <w:r>
              <w:rPr>
                <w:rFonts w:hint="eastAsia"/>
                <w:kern w:val="2"/>
                <w:sz w:val="21"/>
                <w:szCs w:val="21"/>
              </w:rPr>
              <w:t>5.展示平台的金融业务，可体现贷款、保险、基金、理财等金融产品的统一汇聚，形成服务。（满分4分，每少一个产品类型扣1分，扣完为止）</w:t>
            </w:r>
          </w:p>
          <w:p>
            <w:pPr>
              <w:spacing w:line="360" w:lineRule="exact"/>
              <w:jc w:val="both"/>
              <w:rPr>
                <w:rFonts w:hint="eastAsia"/>
                <w:kern w:val="2"/>
                <w:sz w:val="21"/>
                <w:szCs w:val="21"/>
              </w:rPr>
            </w:pPr>
            <w:r>
              <w:rPr>
                <w:rFonts w:hint="eastAsia"/>
                <w:kern w:val="2"/>
                <w:sz w:val="21"/>
                <w:szCs w:val="21"/>
              </w:rPr>
              <w:t>6.展现平台的金融培训服务，可体现在线政策查询、金融直播、企业资本市场培训等线上金融培训。（满分4分，每少一个服务类型扣2分，扣完为止）</w:t>
            </w:r>
          </w:p>
          <w:p>
            <w:pPr>
              <w:spacing w:line="360" w:lineRule="exact"/>
              <w:jc w:val="both"/>
              <w:rPr>
                <w:rFonts w:hint="eastAsia"/>
                <w:kern w:val="2"/>
                <w:sz w:val="21"/>
                <w:szCs w:val="21"/>
                <w:lang w:val="en-US" w:eastAsia="zh-CN"/>
              </w:rPr>
            </w:pPr>
            <w:r>
              <w:rPr>
                <w:rFonts w:hint="eastAsia"/>
                <w:kern w:val="2"/>
                <w:sz w:val="21"/>
                <w:szCs w:val="21"/>
                <w:lang w:val="en-US" w:eastAsia="zh-CN"/>
              </w:rPr>
              <w:t>7.展示普惠风险补偿专区功能：普惠政策专区建设，企业资格核查、贷款申请入口、政策解析等功能；普惠贷款业务办理流程；普惠业务线上备案模块，提供金融机构备案渠道；补偿管理模块展示，计算补偿金额等，留存补偿数据与资料；业务、补偿等模块与省平台完成对接展示，并且将数据同步至省平台；省对市营商环境关于普惠型风险补偿考核的其他要求。</w:t>
            </w:r>
            <w:r>
              <w:rPr>
                <w:rFonts w:hint="eastAsia"/>
                <w:kern w:val="2"/>
                <w:sz w:val="21"/>
                <w:szCs w:val="21"/>
              </w:rPr>
              <w:t>（满分</w:t>
            </w:r>
            <w:r>
              <w:rPr>
                <w:rFonts w:hint="eastAsia"/>
                <w:kern w:val="2"/>
                <w:sz w:val="21"/>
                <w:szCs w:val="21"/>
                <w:lang w:val="en-US" w:eastAsia="zh-CN"/>
              </w:rPr>
              <w:t>12</w:t>
            </w:r>
            <w:r>
              <w:rPr>
                <w:rFonts w:hint="eastAsia"/>
                <w:kern w:val="2"/>
                <w:sz w:val="21"/>
                <w:szCs w:val="21"/>
              </w:rPr>
              <w:t>分，每少一个服务类型扣</w:t>
            </w:r>
            <w:r>
              <w:rPr>
                <w:rFonts w:hint="eastAsia"/>
                <w:kern w:val="2"/>
                <w:sz w:val="21"/>
                <w:szCs w:val="21"/>
                <w:lang w:val="en-US" w:eastAsia="zh-CN"/>
              </w:rPr>
              <w:t>2</w:t>
            </w:r>
            <w:r>
              <w:rPr>
                <w:rFonts w:hint="eastAsia"/>
                <w:kern w:val="2"/>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28" w:type="dxa"/>
            <w:vAlign w:val="center"/>
          </w:tcPr>
          <w:p>
            <w:pPr>
              <w:spacing w:line="360" w:lineRule="exact"/>
              <w:jc w:val="center"/>
              <w:rPr>
                <w:kern w:val="2"/>
                <w:sz w:val="21"/>
                <w:szCs w:val="21"/>
              </w:rPr>
            </w:pPr>
            <w:r>
              <w:rPr>
                <w:rFonts w:hint="eastAsia"/>
                <w:kern w:val="2"/>
                <w:sz w:val="21"/>
                <w:szCs w:val="21"/>
              </w:rPr>
              <w:t>资质</w:t>
            </w:r>
          </w:p>
        </w:tc>
        <w:tc>
          <w:tcPr>
            <w:tcW w:w="1831" w:type="dxa"/>
            <w:vAlign w:val="center"/>
          </w:tcPr>
          <w:p>
            <w:pPr>
              <w:spacing w:line="360" w:lineRule="exact"/>
              <w:jc w:val="both"/>
              <w:rPr>
                <w:rFonts w:hint="eastAsia"/>
                <w:kern w:val="2"/>
                <w:sz w:val="21"/>
                <w:szCs w:val="21"/>
              </w:rPr>
            </w:pPr>
            <w:r>
              <w:rPr>
                <w:rFonts w:hint="eastAsia"/>
                <w:kern w:val="2"/>
                <w:sz w:val="21"/>
                <w:szCs w:val="21"/>
              </w:rPr>
              <w:t>（</w:t>
            </w:r>
            <w:r>
              <w:rPr>
                <w:rFonts w:hint="eastAsia"/>
                <w:kern w:val="2"/>
                <w:sz w:val="21"/>
                <w:szCs w:val="21"/>
                <w:lang w:val="en-US" w:eastAsia="zh-CN"/>
              </w:rPr>
              <w:t>17</w:t>
            </w:r>
            <w:r>
              <w:rPr>
                <w:rFonts w:hint="eastAsia"/>
                <w:kern w:val="2"/>
                <w:sz w:val="21"/>
                <w:szCs w:val="21"/>
              </w:rPr>
              <w:t>分）</w:t>
            </w:r>
          </w:p>
        </w:tc>
        <w:tc>
          <w:tcPr>
            <w:tcW w:w="6496" w:type="dxa"/>
          </w:tcPr>
          <w:p>
            <w:pPr>
              <w:spacing w:line="360" w:lineRule="exact"/>
              <w:jc w:val="both"/>
              <w:rPr>
                <w:rFonts w:hint="eastAsia"/>
                <w:kern w:val="2"/>
                <w:sz w:val="21"/>
                <w:szCs w:val="21"/>
              </w:rPr>
            </w:pPr>
            <w:r>
              <w:rPr>
                <w:rFonts w:hint="eastAsia"/>
                <w:kern w:val="2"/>
                <w:sz w:val="21"/>
                <w:szCs w:val="21"/>
              </w:rPr>
              <w:t>1.具有 CMMI3 级及以上认证证书的、具有经中国国家认证认可监督管理委员会认证机构颁发的有效的 ISO9001 认证证书、具有经中国国家认证认可监督管理委员会认证机构颁发的有效的 ISO27001 认证证书，每提供1个得 1分，满分</w:t>
            </w:r>
            <w:r>
              <w:rPr>
                <w:rFonts w:hint="eastAsia"/>
                <w:kern w:val="2"/>
                <w:sz w:val="21"/>
                <w:szCs w:val="21"/>
                <w:lang w:val="en-US"/>
              </w:rPr>
              <w:t>3</w:t>
            </w:r>
            <w:r>
              <w:rPr>
                <w:rFonts w:hint="eastAsia"/>
                <w:kern w:val="2"/>
                <w:sz w:val="21"/>
                <w:szCs w:val="21"/>
              </w:rPr>
              <w:t>分。</w:t>
            </w:r>
          </w:p>
          <w:p>
            <w:pPr>
              <w:spacing w:line="360" w:lineRule="exact"/>
              <w:jc w:val="both"/>
              <w:rPr>
                <w:rFonts w:hint="eastAsia"/>
                <w:kern w:val="2"/>
                <w:sz w:val="21"/>
                <w:szCs w:val="21"/>
              </w:rPr>
            </w:pPr>
            <w:r>
              <w:rPr>
                <w:rFonts w:hint="eastAsia"/>
                <w:kern w:val="2"/>
                <w:sz w:val="21"/>
                <w:szCs w:val="21"/>
              </w:rPr>
              <w:t>2.具有“</w:t>
            </w:r>
            <w:r>
              <w:rPr>
                <w:rFonts w:hint="eastAsia"/>
                <w:kern w:val="2"/>
                <w:sz w:val="21"/>
                <w:szCs w:val="21"/>
                <w:lang w:val="en-US"/>
              </w:rPr>
              <w:t>企业征信服务平台、互联网金融服务平台、企业预警系统、大数据管理系统、深网数据采集平台、担保行业数字化风控系统、大数据模型指标开发系统</w:t>
            </w:r>
            <w:r>
              <w:rPr>
                <w:rFonts w:hint="eastAsia"/>
                <w:kern w:val="2"/>
                <w:sz w:val="21"/>
                <w:szCs w:val="21"/>
              </w:rPr>
              <w:t>”</w:t>
            </w:r>
            <w:r>
              <w:rPr>
                <w:rFonts w:hint="eastAsia"/>
                <w:kern w:val="2"/>
                <w:sz w:val="21"/>
                <w:szCs w:val="21"/>
                <w:lang w:val="en-US"/>
              </w:rPr>
              <w:t>等</w:t>
            </w:r>
            <w:r>
              <w:rPr>
                <w:rFonts w:hint="eastAsia"/>
                <w:kern w:val="2"/>
                <w:sz w:val="21"/>
                <w:szCs w:val="21"/>
              </w:rPr>
              <w:t>软件著作权登记证书的，每提供1个得 1分，满分</w:t>
            </w:r>
            <w:r>
              <w:rPr>
                <w:rFonts w:hint="eastAsia"/>
                <w:kern w:val="2"/>
                <w:sz w:val="21"/>
                <w:szCs w:val="21"/>
                <w:lang w:val="en-US" w:eastAsia="zh-CN"/>
              </w:rPr>
              <w:t>5</w:t>
            </w:r>
            <w:r>
              <w:rPr>
                <w:rFonts w:hint="eastAsia"/>
                <w:kern w:val="2"/>
                <w:sz w:val="21"/>
                <w:szCs w:val="21"/>
              </w:rPr>
              <w:t>分；</w:t>
            </w:r>
          </w:p>
          <w:p>
            <w:pPr>
              <w:spacing w:line="360" w:lineRule="exact"/>
              <w:jc w:val="both"/>
              <w:rPr>
                <w:rFonts w:hint="eastAsia"/>
                <w:kern w:val="2"/>
                <w:sz w:val="21"/>
                <w:szCs w:val="21"/>
              </w:rPr>
            </w:pPr>
            <w:r>
              <w:rPr>
                <w:rFonts w:hint="eastAsia"/>
                <w:kern w:val="2"/>
                <w:sz w:val="21"/>
                <w:szCs w:val="21"/>
              </w:rPr>
              <w:t>3.具有中国人民银行征信备案的，得</w:t>
            </w:r>
            <w:r>
              <w:rPr>
                <w:rFonts w:hint="eastAsia"/>
                <w:kern w:val="2"/>
                <w:sz w:val="21"/>
                <w:szCs w:val="21"/>
                <w:lang w:val="en-US" w:eastAsia="zh-CN"/>
              </w:rPr>
              <w:t>5</w:t>
            </w:r>
            <w:r>
              <w:rPr>
                <w:rFonts w:hint="eastAsia"/>
                <w:kern w:val="2"/>
                <w:sz w:val="21"/>
                <w:szCs w:val="21"/>
              </w:rPr>
              <w:t>分；</w:t>
            </w:r>
          </w:p>
          <w:p>
            <w:pPr>
              <w:spacing w:line="360" w:lineRule="exact"/>
              <w:jc w:val="both"/>
              <w:rPr>
                <w:rFonts w:hint="eastAsia"/>
                <w:kern w:val="2"/>
                <w:sz w:val="21"/>
                <w:szCs w:val="21"/>
                <w:lang w:val="en-US"/>
              </w:rPr>
            </w:pPr>
            <w:r>
              <w:rPr>
                <w:rFonts w:hint="eastAsia"/>
                <w:kern w:val="2"/>
                <w:sz w:val="21"/>
                <w:szCs w:val="21"/>
                <w:lang w:val="en-US"/>
              </w:rPr>
              <w:t>4.入选国家公共信用信息中心可为信用修复申请人出具信用报告的信用服务机构，得</w:t>
            </w:r>
            <w:r>
              <w:rPr>
                <w:rFonts w:hint="eastAsia"/>
                <w:kern w:val="2"/>
                <w:sz w:val="21"/>
                <w:szCs w:val="21"/>
                <w:lang w:val="en-US" w:eastAsia="zh-CN"/>
              </w:rPr>
              <w:t>4</w:t>
            </w:r>
            <w:r>
              <w:rPr>
                <w:rFonts w:hint="eastAsia"/>
                <w:kern w:val="2"/>
                <w:sz w:val="21"/>
                <w:szCs w:val="21"/>
                <w:lang w:val="en-US"/>
              </w:rPr>
              <w:t>分。</w:t>
            </w:r>
          </w:p>
          <w:p>
            <w:pPr>
              <w:spacing w:line="360" w:lineRule="exact"/>
              <w:jc w:val="both"/>
              <w:rPr>
                <w:rFonts w:hint="eastAsia"/>
                <w:kern w:val="2"/>
                <w:sz w:val="21"/>
                <w:szCs w:val="21"/>
              </w:rPr>
            </w:pPr>
            <w:r>
              <w:rPr>
                <w:rFonts w:hint="eastAsia"/>
                <w:kern w:val="2"/>
                <w:sz w:val="21"/>
                <w:szCs w:val="21"/>
              </w:rPr>
              <w:t xml:space="preserve">注：1、证书须在有效期内，响应文件中须提供证书（或证明文件）扫描件或影印件。 </w:t>
            </w:r>
          </w:p>
          <w:p>
            <w:pPr>
              <w:spacing w:line="360" w:lineRule="exact"/>
              <w:jc w:val="both"/>
              <w:rPr>
                <w:rFonts w:hint="eastAsia"/>
                <w:kern w:val="2"/>
                <w:sz w:val="21"/>
                <w:szCs w:val="21"/>
              </w:rPr>
            </w:pPr>
            <w:r>
              <w:rPr>
                <w:rFonts w:hint="eastAsia"/>
                <w:kern w:val="2"/>
                <w:sz w:val="21"/>
                <w:szCs w:val="21"/>
              </w:rPr>
              <w:t>2、第3项提供中国人民银行备案公示信息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28" w:type="dxa"/>
            <w:vAlign w:val="center"/>
          </w:tcPr>
          <w:p>
            <w:pPr>
              <w:spacing w:line="360" w:lineRule="exact"/>
              <w:ind w:firstLine="630" w:firstLineChars="300"/>
              <w:jc w:val="both"/>
              <w:rPr>
                <w:rFonts w:hint="eastAsia"/>
                <w:kern w:val="2"/>
                <w:sz w:val="21"/>
                <w:szCs w:val="21"/>
              </w:rPr>
            </w:pPr>
            <w:bookmarkStart w:id="3" w:name="_GoBack"/>
            <w:bookmarkEnd w:id="3"/>
            <w:r>
              <w:rPr>
                <w:rFonts w:hint="eastAsia"/>
                <w:kern w:val="2"/>
                <w:sz w:val="21"/>
                <w:szCs w:val="21"/>
              </w:rPr>
              <w:t xml:space="preserve">业绩 </w:t>
            </w:r>
          </w:p>
        </w:tc>
        <w:tc>
          <w:tcPr>
            <w:tcW w:w="1831" w:type="dxa"/>
            <w:vAlign w:val="center"/>
          </w:tcPr>
          <w:p>
            <w:pPr>
              <w:spacing w:line="360" w:lineRule="exact"/>
              <w:jc w:val="both"/>
              <w:rPr>
                <w:rFonts w:hint="default"/>
                <w:kern w:val="2"/>
                <w:sz w:val="21"/>
                <w:szCs w:val="21"/>
                <w:lang w:val="en-US" w:eastAsia="zh-CN"/>
              </w:rPr>
            </w:pPr>
            <w:r>
              <w:rPr>
                <w:rFonts w:hint="eastAsia"/>
                <w:kern w:val="2"/>
                <w:sz w:val="21"/>
                <w:szCs w:val="21"/>
              </w:rPr>
              <w:t>（</w:t>
            </w:r>
            <w:r>
              <w:rPr>
                <w:rFonts w:hint="eastAsia"/>
                <w:kern w:val="2"/>
                <w:sz w:val="21"/>
                <w:szCs w:val="21"/>
                <w:lang w:val="en-US" w:eastAsia="zh-CN"/>
              </w:rPr>
              <w:t>16</w:t>
            </w:r>
            <w:r>
              <w:rPr>
                <w:rFonts w:hint="eastAsia"/>
                <w:kern w:val="2"/>
                <w:sz w:val="21"/>
                <w:szCs w:val="21"/>
              </w:rPr>
              <w:t>分）</w:t>
            </w:r>
          </w:p>
        </w:tc>
        <w:tc>
          <w:tcPr>
            <w:tcW w:w="6496" w:type="dxa"/>
          </w:tcPr>
          <w:p>
            <w:pPr>
              <w:spacing w:line="360" w:lineRule="exact"/>
              <w:jc w:val="both"/>
              <w:rPr>
                <w:rFonts w:hint="eastAsia"/>
                <w:kern w:val="2"/>
                <w:sz w:val="21"/>
                <w:szCs w:val="21"/>
                <w:lang w:val="en-US"/>
              </w:rPr>
            </w:pPr>
            <w:r>
              <w:rPr>
                <w:rFonts w:hint="eastAsia"/>
                <w:kern w:val="2"/>
                <w:sz w:val="21"/>
                <w:szCs w:val="21"/>
                <w:lang w:val="en-US"/>
              </w:rPr>
              <w:t>1、自2020年1月以来(以合同签订时间为准)，与市级及以上政府部门签订金融服务平台建设合同的，每个得2分，满分</w:t>
            </w:r>
            <w:r>
              <w:rPr>
                <w:rFonts w:hint="eastAsia"/>
                <w:kern w:val="2"/>
                <w:sz w:val="21"/>
                <w:szCs w:val="21"/>
                <w:lang w:val="en-US" w:eastAsia="zh-CN"/>
              </w:rPr>
              <w:t>8</w:t>
            </w:r>
            <w:r>
              <w:rPr>
                <w:rFonts w:hint="eastAsia"/>
                <w:kern w:val="2"/>
                <w:sz w:val="21"/>
                <w:szCs w:val="21"/>
                <w:lang w:val="en-US"/>
              </w:rPr>
              <w:t>分。（注：需提供与政府部门签约合同、材料体现金融服务平台建设内容）</w:t>
            </w:r>
          </w:p>
          <w:p>
            <w:pPr>
              <w:spacing w:line="360" w:lineRule="exact"/>
              <w:jc w:val="both"/>
              <w:rPr>
                <w:rFonts w:hint="eastAsia"/>
                <w:kern w:val="2"/>
                <w:sz w:val="21"/>
                <w:szCs w:val="21"/>
                <w:lang w:val="en-US"/>
              </w:rPr>
            </w:pPr>
            <w:r>
              <w:rPr>
                <w:rFonts w:hint="eastAsia"/>
                <w:kern w:val="2"/>
                <w:sz w:val="21"/>
                <w:szCs w:val="21"/>
                <w:lang w:val="en-US"/>
              </w:rPr>
              <w:t>2、自2020年1月以来(以合同签订时间为准)，与金融机构签订技术开发或服务合作合同的，每个得2分，满分</w:t>
            </w:r>
            <w:r>
              <w:rPr>
                <w:rFonts w:hint="eastAsia"/>
                <w:kern w:val="2"/>
                <w:sz w:val="21"/>
                <w:szCs w:val="21"/>
                <w:lang w:val="en-US" w:eastAsia="zh-CN"/>
              </w:rPr>
              <w:t>8分</w:t>
            </w:r>
            <w:r>
              <w:rPr>
                <w:rFonts w:hint="eastAsia"/>
                <w:kern w:val="2"/>
                <w:sz w:val="21"/>
                <w:szCs w:val="21"/>
                <w:lang w:val="en-US"/>
              </w:rPr>
              <w:t>。（注：合同名称或合作内容须明确包含“模型”或“征信服务等内容）。</w:t>
            </w:r>
          </w:p>
          <w:p>
            <w:pPr>
              <w:spacing w:line="360" w:lineRule="exact"/>
              <w:jc w:val="both"/>
              <w:rPr>
                <w:rFonts w:hint="eastAsia"/>
                <w:kern w:val="2"/>
                <w:sz w:val="21"/>
                <w:szCs w:val="21"/>
              </w:rPr>
            </w:pPr>
            <w:r>
              <w:rPr>
                <w:rFonts w:hint="eastAsia"/>
                <w:kern w:val="2"/>
                <w:sz w:val="21"/>
                <w:szCs w:val="21"/>
                <w:lang w:val="en-US"/>
              </w:rPr>
              <w:t>注：（1）投标文件中提供业绩合同扫描件，如合同中无法体现签订时间、项目内容等关键信息的，须另附业主单位出具的证明材料扫描件；（2）招标人有权进行实地考察并核验业绩案例真实性，若存在虚假情况，则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28" w:type="dxa"/>
            <w:vAlign w:val="center"/>
          </w:tcPr>
          <w:p>
            <w:pPr>
              <w:spacing w:line="360" w:lineRule="exact"/>
              <w:ind w:firstLine="420" w:firstLineChars="200"/>
              <w:jc w:val="both"/>
              <w:rPr>
                <w:kern w:val="2"/>
                <w:sz w:val="21"/>
                <w:szCs w:val="21"/>
              </w:rPr>
            </w:pPr>
            <w:r>
              <w:rPr>
                <w:rFonts w:hint="eastAsia"/>
                <w:kern w:val="2"/>
                <w:sz w:val="21"/>
                <w:szCs w:val="21"/>
              </w:rPr>
              <w:t>价格</w:t>
            </w:r>
          </w:p>
        </w:tc>
        <w:tc>
          <w:tcPr>
            <w:tcW w:w="1831" w:type="dxa"/>
            <w:vAlign w:val="center"/>
          </w:tcPr>
          <w:p>
            <w:pPr>
              <w:spacing w:line="360" w:lineRule="exact"/>
              <w:jc w:val="both"/>
              <w:rPr>
                <w:kern w:val="2"/>
                <w:sz w:val="21"/>
                <w:szCs w:val="21"/>
              </w:rPr>
            </w:pPr>
            <w:r>
              <w:rPr>
                <w:rFonts w:hint="eastAsia"/>
                <w:kern w:val="2"/>
                <w:sz w:val="21"/>
                <w:szCs w:val="21"/>
              </w:rPr>
              <w:t>（</w:t>
            </w:r>
            <w:r>
              <w:rPr>
                <w:rFonts w:hint="eastAsia"/>
                <w:kern w:val="2"/>
                <w:sz w:val="21"/>
                <w:szCs w:val="21"/>
                <w:lang w:val="en-US"/>
              </w:rPr>
              <w:t>1</w:t>
            </w:r>
            <w:r>
              <w:rPr>
                <w:kern w:val="2"/>
                <w:sz w:val="21"/>
                <w:szCs w:val="21"/>
                <w:lang w:val="en-US"/>
              </w:rPr>
              <w:t>0</w:t>
            </w:r>
            <w:r>
              <w:rPr>
                <w:rFonts w:hint="eastAsia"/>
                <w:kern w:val="2"/>
                <w:sz w:val="21"/>
                <w:szCs w:val="21"/>
              </w:rPr>
              <w:t>分）</w:t>
            </w:r>
          </w:p>
        </w:tc>
        <w:tc>
          <w:tcPr>
            <w:tcW w:w="6496" w:type="dxa"/>
          </w:tcPr>
          <w:p>
            <w:pPr>
              <w:spacing w:line="360" w:lineRule="exact"/>
              <w:ind w:firstLine="420" w:firstLineChars="200"/>
              <w:jc w:val="both"/>
              <w:rPr>
                <w:kern w:val="2"/>
                <w:sz w:val="21"/>
                <w:szCs w:val="21"/>
              </w:rPr>
            </w:pPr>
            <w:r>
              <w:rPr>
                <w:rFonts w:hint="eastAsia"/>
                <w:kern w:val="2"/>
                <w:sz w:val="21"/>
                <w:szCs w:val="21"/>
              </w:rPr>
              <w:t xml:space="preserve">价格标经评审满足本文件要求且在预算范围内的供应商的最终总报价中，最低价格为评标基准价格，得满分；其他供应商的价格分统一按照下列公式计算： </w:t>
            </w:r>
          </w:p>
          <w:p>
            <w:pPr>
              <w:spacing w:line="360" w:lineRule="exact"/>
              <w:ind w:firstLine="420" w:firstLineChars="200"/>
              <w:jc w:val="both"/>
              <w:rPr>
                <w:kern w:val="2"/>
                <w:sz w:val="21"/>
                <w:szCs w:val="21"/>
              </w:rPr>
            </w:pPr>
            <w:r>
              <w:rPr>
                <w:rFonts w:hint="eastAsia"/>
                <w:kern w:val="2"/>
                <w:sz w:val="21"/>
                <w:szCs w:val="21"/>
              </w:rPr>
              <w:t>最终报价得分＝（评标基准价/最终报价）× 价格分分值（取小数点后两位，第三位四舍五入）。</w:t>
            </w:r>
          </w:p>
        </w:tc>
      </w:tr>
    </w:tbl>
    <w:p>
      <w:pPr>
        <w:spacing w:line="357" w:lineRule="auto"/>
        <w:sectPr>
          <w:footerReference r:id="rId5" w:type="default"/>
          <w:pgSz w:w="11910" w:h="16840"/>
          <w:pgMar w:top="1440" w:right="1800" w:bottom="1440" w:left="1800" w:header="0" w:footer="1323" w:gutter="0"/>
          <w:cols w:space="720" w:num="1"/>
        </w:sectPr>
      </w:pPr>
    </w:p>
    <w:p>
      <w:pPr>
        <w:pStyle w:val="2"/>
        <w:ind w:firstLine="0" w:firstLineChars="0"/>
      </w:pPr>
    </w:p>
    <w:sectPr>
      <w:pgSz w:w="11906" w:h="16838"/>
      <w:pgMar w:top="2098" w:right="1418" w:bottom="1701" w:left="1588" w:header="851" w:footer="992" w:gutter="0"/>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oLiWLAIAAFc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g6C4liwCAABXBAAADgAAAAAAAAABACAAAAA1AQAAZHJzL2Uy&#10;b0RvYy54bWxQSwECFAAUAAAACACHTuJAs0lY7tAAAAAFAQAADwAAAAAAAAABACAAAAA4AAAAZHJz&#10;L2Rvd25yZXYueG1sUEsFBgAAAAAGAAYAWQEAAN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U1YzFhZjQ0MGNhMGEzNDhjOWVkNWRkYTllOTUifQ=="/>
  </w:docVars>
  <w:rsids>
    <w:rsidRoot w:val="729471DF"/>
    <w:rsid w:val="000310E2"/>
    <w:rsid w:val="00031E6F"/>
    <w:rsid w:val="00032CD4"/>
    <w:rsid w:val="00033737"/>
    <w:rsid w:val="00061091"/>
    <w:rsid w:val="000720B3"/>
    <w:rsid w:val="000957D9"/>
    <w:rsid w:val="000B1775"/>
    <w:rsid w:val="000B7DEF"/>
    <w:rsid w:val="000D359E"/>
    <w:rsid w:val="0010118D"/>
    <w:rsid w:val="001050EF"/>
    <w:rsid w:val="00107A35"/>
    <w:rsid w:val="00120AB7"/>
    <w:rsid w:val="00153FA8"/>
    <w:rsid w:val="001D43AC"/>
    <w:rsid w:val="001E4D2F"/>
    <w:rsid w:val="001F1765"/>
    <w:rsid w:val="00202F80"/>
    <w:rsid w:val="0023226D"/>
    <w:rsid w:val="00245B91"/>
    <w:rsid w:val="00245E03"/>
    <w:rsid w:val="002773FF"/>
    <w:rsid w:val="002F4618"/>
    <w:rsid w:val="0031146C"/>
    <w:rsid w:val="003345EA"/>
    <w:rsid w:val="003421A9"/>
    <w:rsid w:val="00342306"/>
    <w:rsid w:val="003811F3"/>
    <w:rsid w:val="003830B0"/>
    <w:rsid w:val="003926DD"/>
    <w:rsid w:val="00393C46"/>
    <w:rsid w:val="003973C6"/>
    <w:rsid w:val="003C78CC"/>
    <w:rsid w:val="004039C8"/>
    <w:rsid w:val="00443F74"/>
    <w:rsid w:val="00454A62"/>
    <w:rsid w:val="00487886"/>
    <w:rsid w:val="004A7D36"/>
    <w:rsid w:val="004B4749"/>
    <w:rsid w:val="004C080C"/>
    <w:rsid w:val="004F3D19"/>
    <w:rsid w:val="004F6C11"/>
    <w:rsid w:val="00505259"/>
    <w:rsid w:val="0052211D"/>
    <w:rsid w:val="00536B6D"/>
    <w:rsid w:val="005B6A09"/>
    <w:rsid w:val="005E1CF8"/>
    <w:rsid w:val="00602195"/>
    <w:rsid w:val="00616829"/>
    <w:rsid w:val="0062167E"/>
    <w:rsid w:val="006A5BE8"/>
    <w:rsid w:val="006A74D3"/>
    <w:rsid w:val="006B5DE8"/>
    <w:rsid w:val="006C3A52"/>
    <w:rsid w:val="006C6BE4"/>
    <w:rsid w:val="006F2137"/>
    <w:rsid w:val="006F408D"/>
    <w:rsid w:val="006F7F1E"/>
    <w:rsid w:val="00710F41"/>
    <w:rsid w:val="007133A1"/>
    <w:rsid w:val="00722772"/>
    <w:rsid w:val="00733A73"/>
    <w:rsid w:val="00764CFE"/>
    <w:rsid w:val="00765C41"/>
    <w:rsid w:val="007F3DA8"/>
    <w:rsid w:val="00802254"/>
    <w:rsid w:val="008615D1"/>
    <w:rsid w:val="00864A8B"/>
    <w:rsid w:val="00876833"/>
    <w:rsid w:val="00885DD4"/>
    <w:rsid w:val="0089390A"/>
    <w:rsid w:val="008C375E"/>
    <w:rsid w:val="008D0648"/>
    <w:rsid w:val="00930E00"/>
    <w:rsid w:val="00933E37"/>
    <w:rsid w:val="00950B33"/>
    <w:rsid w:val="0095567D"/>
    <w:rsid w:val="00960C12"/>
    <w:rsid w:val="00961878"/>
    <w:rsid w:val="009621D9"/>
    <w:rsid w:val="009A1321"/>
    <w:rsid w:val="009C688E"/>
    <w:rsid w:val="009D1F36"/>
    <w:rsid w:val="009D23C3"/>
    <w:rsid w:val="009E08D6"/>
    <w:rsid w:val="009E74D4"/>
    <w:rsid w:val="009F36D9"/>
    <w:rsid w:val="00A00B05"/>
    <w:rsid w:val="00A01B78"/>
    <w:rsid w:val="00A076D4"/>
    <w:rsid w:val="00A212C1"/>
    <w:rsid w:val="00A354B2"/>
    <w:rsid w:val="00A44A1C"/>
    <w:rsid w:val="00A5360C"/>
    <w:rsid w:val="00A60043"/>
    <w:rsid w:val="00AC061F"/>
    <w:rsid w:val="00AE5B45"/>
    <w:rsid w:val="00AE6409"/>
    <w:rsid w:val="00AE732F"/>
    <w:rsid w:val="00B23417"/>
    <w:rsid w:val="00B40BAF"/>
    <w:rsid w:val="00B50999"/>
    <w:rsid w:val="00B561FE"/>
    <w:rsid w:val="00B64439"/>
    <w:rsid w:val="00B65E5C"/>
    <w:rsid w:val="00B66C2E"/>
    <w:rsid w:val="00B71E9F"/>
    <w:rsid w:val="00B90B51"/>
    <w:rsid w:val="00B95412"/>
    <w:rsid w:val="00B959C1"/>
    <w:rsid w:val="00BB7E73"/>
    <w:rsid w:val="00BC7FC7"/>
    <w:rsid w:val="00C36C43"/>
    <w:rsid w:val="00C82181"/>
    <w:rsid w:val="00CB31C2"/>
    <w:rsid w:val="00CC39AA"/>
    <w:rsid w:val="00CE2720"/>
    <w:rsid w:val="00CF4C91"/>
    <w:rsid w:val="00CF7DF5"/>
    <w:rsid w:val="00D32CE9"/>
    <w:rsid w:val="00D35B22"/>
    <w:rsid w:val="00D41FE2"/>
    <w:rsid w:val="00D55E41"/>
    <w:rsid w:val="00DA6554"/>
    <w:rsid w:val="00DF7FEC"/>
    <w:rsid w:val="00E023CA"/>
    <w:rsid w:val="00E17C27"/>
    <w:rsid w:val="00E20162"/>
    <w:rsid w:val="00E3519C"/>
    <w:rsid w:val="00E51FBF"/>
    <w:rsid w:val="00E63CED"/>
    <w:rsid w:val="00E63E52"/>
    <w:rsid w:val="00EA740D"/>
    <w:rsid w:val="00EB0561"/>
    <w:rsid w:val="00EB3702"/>
    <w:rsid w:val="00EB70AA"/>
    <w:rsid w:val="00ED0252"/>
    <w:rsid w:val="00EE0259"/>
    <w:rsid w:val="00EE174C"/>
    <w:rsid w:val="00EF1941"/>
    <w:rsid w:val="00EF39A3"/>
    <w:rsid w:val="00F065C9"/>
    <w:rsid w:val="00F13467"/>
    <w:rsid w:val="00F63664"/>
    <w:rsid w:val="00F65E87"/>
    <w:rsid w:val="00F845FA"/>
    <w:rsid w:val="00FA63E4"/>
    <w:rsid w:val="00FB210E"/>
    <w:rsid w:val="00FC2E28"/>
    <w:rsid w:val="00FD7846"/>
    <w:rsid w:val="00FE1FBF"/>
    <w:rsid w:val="00FF4743"/>
    <w:rsid w:val="0D49663A"/>
    <w:rsid w:val="0F45726A"/>
    <w:rsid w:val="11110A84"/>
    <w:rsid w:val="14C0394A"/>
    <w:rsid w:val="19F26F0E"/>
    <w:rsid w:val="207B6FD6"/>
    <w:rsid w:val="26DC128B"/>
    <w:rsid w:val="27A009AB"/>
    <w:rsid w:val="2A6603D4"/>
    <w:rsid w:val="2CDF446E"/>
    <w:rsid w:val="2E1D2B1E"/>
    <w:rsid w:val="335B187F"/>
    <w:rsid w:val="33D62E83"/>
    <w:rsid w:val="367E778C"/>
    <w:rsid w:val="3CBE016E"/>
    <w:rsid w:val="3DC6B129"/>
    <w:rsid w:val="42186E5E"/>
    <w:rsid w:val="4230334A"/>
    <w:rsid w:val="4A985F30"/>
    <w:rsid w:val="4E661668"/>
    <w:rsid w:val="4F0F0845"/>
    <w:rsid w:val="531D66D7"/>
    <w:rsid w:val="5325057D"/>
    <w:rsid w:val="534E31C5"/>
    <w:rsid w:val="55D664E1"/>
    <w:rsid w:val="595C281E"/>
    <w:rsid w:val="5F616B0F"/>
    <w:rsid w:val="5FBF4604"/>
    <w:rsid w:val="681A6216"/>
    <w:rsid w:val="6F1C0D84"/>
    <w:rsid w:val="6F814935"/>
    <w:rsid w:val="729471DF"/>
    <w:rsid w:val="72FD0776"/>
    <w:rsid w:val="770E18F5"/>
    <w:rsid w:val="7D1E1A15"/>
    <w:rsid w:val="7DCF7819"/>
    <w:rsid w:val="7F182BC0"/>
    <w:rsid w:val="8F9EDACA"/>
    <w:rsid w:val="FFF70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8"/>
      <w:szCs w:val="22"/>
      <w:lang w:val="zh-CN" w:eastAsia="zh-CN" w:bidi="zh-CN"/>
    </w:rPr>
  </w:style>
  <w:style w:type="paragraph" w:styleId="3">
    <w:name w:val="heading 1"/>
    <w:basedOn w:val="1"/>
    <w:next w:val="1"/>
    <w:qFormat/>
    <w:uiPriority w:val="0"/>
    <w:pPr>
      <w:keepNext/>
      <w:keepLines/>
      <w:outlineLvl w:val="0"/>
    </w:pPr>
    <w:rPr>
      <w:b/>
      <w:bCs/>
      <w:kern w:val="44"/>
      <w:sz w:val="32"/>
      <w:szCs w:val="44"/>
    </w:rPr>
  </w:style>
  <w:style w:type="paragraph" w:styleId="4">
    <w:name w:val="heading 3"/>
    <w:basedOn w:val="1"/>
    <w:next w:val="1"/>
    <w:qFormat/>
    <w:uiPriority w:val="0"/>
    <w:pPr>
      <w:ind w:left="237" w:right="102"/>
      <w:outlineLvl w:val="2"/>
    </w:pPr>
    <w:rPr>
      <w:rFonts w:cs="Times New Roman"/>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5">
    <w:name w:val="Normal Indent"/>
    <w:basedOn w:val="1"/>
    <w:next w:val="1"/>
    <w:qFormat/>
    <w:uiPriority w:val="0"/>
    <w:pPr>
      <w:ind w:firstLine="420" w:firstLineChars="200"/>
    </w:pPr>
  </w:style>
  <w:style w:type="paragraph" w:styleId="6">
    <w:name w:val="annotation text"/>
    <w:basedOn w:val="1"/>
    <w:link w:val="17"/>
    <w:qFormat/>
    <w:uiPriority w:val="0"/>
  </w:style>
  <w:style w:type="paragraph" w:styleId="7">
    <w:name w:val="Body Text"/>
    <w:basedOn w:val="1"/>
    <w:next w:val="8"/>
    <w:qFormat/>
    <w:uiPriority w:val="0"/>
    <w:pPr>
      <w:spacing w:after="120"/>
    </w:pPr>
  </w:style>
  <w:style w:type="paragraph" w:styleId="8">
    <w:name w:val="Body Text First Indent"/>
    <w:basedOn w:val="7"/>
    <w:next w:val="9"/>
    <w:qFormat/>
    <w:uiPriority w:val="0"/>
    <w:pPr>
      <w:adjustRightInd w:val="0"/>
      <w:spacing w:line="240" w:lineRule="auto"/>
      <w:ind w:firstLine="420" w:firstLineChars="100"/>
      <w:textAlignment w:val="baseline"/>
    </w:pPr>
    <w:rPr>
      <w:b/>
      <w:bCs/>
      <w:kern w:val="44"/>
      <w:szCs w:val="24"/>
    </w:rPr>
  </w:style>
  <w:style w:type="paragraph" w:styleId="9">
    <w:name w:val="toc 6"/>
    <w:basedOn w:val="1"/>
    <w:next w:val="1"/>
    <w:qFormat/>
    <w:uiPriority w:val="0"/>
    <w:pPr>
      <w:ind w:left="1701" w:firstLine="720" w:firstLineChars="300"/>
    </w:pPr>
    <w:rPr>
      <w:szCs w:val="18"/>
    </w:rPr>
  </w:style>
  <w:style w:type="paragraph" w:styleId="10">
    <w:name w:val="Balloon Text"/>
    <w:basedOn w:val="1"/>
    <w:link w:val="19"/>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Body Text 2"/>
    <w:basedOn w:val="1"/>
    <w:next w:val="1"/>
    <w:qFormat/>
    <w:uiPriority w:val="0"/>
    <w:pPr>
      <w:adjustRightInd w:val="0"/>
      <w:snapToGrid w:val="0"/>
      <w:spacing w:line="480" w:lineRule="atLeast"/>
    </w:pPr>
    <w:rPr>
      <w:szCs w:val="20"/>
    </w:rPr>
  </w:style>
  <w:style w:type="paragraph" w:styleId="13">
    <w:name w:val="annotation subject"/>
    <w:basedOn w:val="6"/>
    <w:next w:val="6"/>
    <w:link w:val="18"/>
    <w:qFormat/>
    <w:uiPriority w:val="0"/>
    <w:rPr>
      <w:b/>
      <w:bCs/>
    </w:rPr>
  </w:style>
  <w:style w:type="character" w:styleId="16">
    <w:name w:val="annotation reference"/>
    <w:basedOn w:val="15"/>
    <w:qFormat/>
    <w:uiPriority w:val="0"/>
    <w:rPr>
      <w:sz w:val="21"/>
      <w:szCs w:val="21"/>
    </w:rPr>
  </w:style>
  <w:style w:type="character" w:customStyle="1" w:styleId="17">
    <w:name w:val="批注文字 字符"/>
    <w:basedOn w:val="15"/>
    <w:link w:val="6"/>
    <w:qFormat/>
    <w:uiPriority w:val="0"/>
    <w:rPr>
      <w:rFonts w:ascii="宋体" w:hAnsi="宋体" w:eastAsia="宋体" w:cs="宋体"/>
      <w:sz w:val="28"/>
      <w:szCs w:val="22"/>
      <w:lang w:val="zh-CN" w:bidi="zh-CN"/>
    </w:rPr>
  </w:style>
  <w:style w:type="character" w:customStyle="1" w:styleId="18">
    <w:name w:val="批注主题 字符"/>
    <w:basedOn w:val="17"/>
    <w:link w:val="13"/>
    <w:qFormat/>
    <w:uiPriority w:val="0"/>
    <w:rPr>
      <w:rFonts w:ascii="宋体" w:hAnsi="宋体" w:eastAsia="宋体" w:cs="宋体"/>
      <w:b/>
      <w:bCs/>
      <w:sz w:val="28"/>
      <w:szCs w:val="22"/>
      <w:lang w:val="zh-CN" w:bidi="zh-CN"/>
    </w:rPr>
  </w:style>
  <w:style w:type="character" w:customStyle="1" w:styleId="19">
    <w:name w:val="批注框文本 字符"/>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1981</Words>
  <Characters>2031</Characters>
  <Lines>13</Lines>
  <Paragraphs>3</Paragraphs>
  <TotalTime>13</TotalTime>
  <ScaleCrop>false</ScaleCrop>
  <LinksUpToDate>false</LinksUpToDate>
  <CharactersWithSpaces>2049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2023-06-06T11:33:00Z</dcterms:created>
  <dc:creator>宿州市数据资源管理局</dc:creator>
  <cp:lastModifiedBy>greatwall</cp:lastModifiedBy>
  <dcterms:modified xsi:type="dcterms:W3CDTF">2023-06-29T10:57:51Z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545B9DCFFFCC4E7BAD89F7E4F806AC69_12</vt:lpwstr>
  </property>
</Properties>
</file>